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30" w:rsidRDefault="00A92F30" w:rsidP="00E2344A"/>
    <w:p w:rsidR="00524EEB" w:rsidRDefault="00524EEB" w:rsidP="00524EEB">
      <w:pPr>
        <w:spacing w:after="0" w:line="320" w:lineRule="atLeast"/>
        <w:ind w:right="-619"/>
        <w:jc w:val="both"/>
      </w:pPr>
    </w:p>
    <w:p w:rsidR="00E41E05" w:rsidRPr="00E41E05" w:rsidRDefault="00E41E05" w:rsidP="00E41E05">
      <w:pPr>
        <w:pStyle w:val="BodyText"/>
        <w:spacing w:before="120" w:after="120" w:line="276" w:lineRule="auto"/>
        <w:ind w:left="180" w:right="-34" w:firstLine="0"/>
        <w:jc w:val="both"/>
        <w:rPr>
          <w:rFonts w:ascii="Arial" w:hAnsi="Arial" w:cs="Arial"/>
          <w:color w:val="1F497D" w:themeColor="text2"/>
        </w:rPr>
      </w:pPr>
      <w:r w:rsidRPr="00E41E05">
        <w:rPr>
          <w:rFonts w:ascii="Arial" w:hAnsi="Arial" w:cs="Arial"/>
          <w:color w:val="1F497D" w:themeColor="text2"/>
        </w:rPr>
        <w:t xml:space="preserve">The City has developed Edible Pocket Garden Guidelines to empower and support its residents to practice sustainable living through growing edible plant species, making better use of public spaces and supporting more active and engaged communities.  </w:t>
      </w:r>
    </w:p>
    <w:p w:rsidR="0041150C" w:rsidRPr="00E41E05" w:rsidRDefault="00E41E05" w:rsidP="0041150C">
      <w:pPr>
        <w:pStyle w:val="BodyText"/>
        <w:spacing w:before="120" w:after="120" w:line="276" w:lineRule="auto"/>
        <w:ind w:left="180" w:right="-34" w:firstLine="0"/>
        <w:jc w:val="both"/>
        <w:rPr>
          <w:rFonts w:ascii="Arial" w:hAnsi="Arial" w:cs="Arial"/>
          <w:color w:val="1F497D" w:themeColor="text2"/>
        </w:rPr>
      </w:pPr>
      <w:r w:rsidRPr="00E41E05">
        <w:rPr>
          <w:rFonts w:ascii="Arial" w:hAnsi="Arial" w:cs="Arial"/>
          <w:color w:val="1F497D" w:themeColor="text2"/>
        </w:rPr>
        <w:t>Edible pocket gardens refer to areas of Council land within parks and reserves that have been approved to be used for growing edible produce for residents. To install edible po</w:t>
      </w:r>
      <w:r w:rsidR="00B520AD">
        <w:rPr>
          <w:rFonts w:ascii="Arial" w:hAnsi="Arial" w:cs="Arial"/>
          <w:color w:val="1F497D" w:themeColor="text2"/>
        </w:rPr>
        <w:t>cket gardens please follow the</w:t>
      </w:r>
      <w:r w:rsidRPr="00E41E05">
        <w:rPr>
          <w:rFonts w:ascii="Arial" w:hAnsi="Arial" w:cs="Arial"/>
          <w:color w:val="1F497D" w:themeColor="text2"/>
        </w:rPr>
        <w:t xml:space="preserve"> simple approval process</w:t>
      </w:r>
      <w:r w:rsidR="00B520AD">
        <w:rPr>
          <w:rFonts w:ascii="Arial" w:hAnsi="Arial" w:cs="Arial"/>
          <w:color w:val="1F497D" w:themeColor="text2"/>
        </w:rPr>
        <w:t xml:space="preserve"> below</w:t>
      </w:r>
      <w:r w:rsidRPr="00E41E05">
        <w:rPr>
          <w:rFonts w:ascii="Arial" w:hAnsi="Arial" w:cs="Arial"/>
          <w:color w:val="1F497D" w:themeColor="text2"/>
        </w:rPr>
        <w:t>.</w:t>
      </w:r>
    </w:p>
    <w:p w:rsidR="00E41E05" w:rsidRPr="00E41E05" w:rsidRDefault="00E41E05" w:rsidP="00E41E05">
      <w:pPr>
        <w:pStyle w:val="custommarkupelement-p"/>
        <w:spacing w:before="120" w:after="120"/>
        <w:ind w:left="180" w:right="-34"/>
        <w:jc w:val="both"/>
        <w:rPr>
          <w:rFonts w:ascii="Arial" w:hAnsi="Arial" w:cs="Arial"/>
          <w:b/>
          <w:color w:val="1F497D" w:themeColor="text2"/>
          <w:sz w:val="22"/>
          <w:szCs w:val="22"/>
          <w:u w:val="single"/>
          <w:lang w:val="en"/>
        </w:rPr>
      </w:pPr>
      <w:r w:rsidRPr="00E41E05">
        <w:rPr>
          <w:rFonts w:ascii="Arial" w:hAnsi="Arial" w:cs="Arial"/>
          <w:b/>
          <w:color w:val="1F497D" w:themeColor="text2"/>
          <w:sz w:val="22"/>
          <w:szCs w:val="22"/>
          <w:u w:val="single"/>
          <w:lang w:val="en"/>
        </w:rPr>
        <w:t>Approval process</w:t>
      </w:r>
    </w:p>
    <w:p w:rsidR="00E41E05" w:rsidRPr="00E41E05" w:rsidRDefault="00E41E05" w:rsidP="00E41E05">
      <w:pPr>
        <w:pStyle w:val="custommarkupelement-p"/>
        <w:spacing w:before="120" w:after="120"/>
        <w:ind w:left="18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Residents are required to complete the approval process before the garden is built. Gardens built before the 24 January 2018 are not required to complete steps One to Three.</w:t>
      </w:r>
    </w:p>
    <w:p w:rsidR="00E41E05" w:rsidRPr="00E41E05" w:rsidRDefault="00E41E05" w:rsidP="0041150C">
      <w:pPr>
        <w:pStyle w:val="custommarkupelement-p"/>
        <w:numPr>
          <w:ilvl w:val="0"/>
          <w:numId w:val="10"/>
        </w:numPr>
        <w:spacing w:before="120" w:after="120"/>
        <w:ind w:left="547" w:right="-29"/>
        <w:jc w:val="both"/>
        <w:rPr>
          <w:rFonts w:ascii="Arial" w:hAnsi="Arial" w:cs="Arial"/>
          <w:color w:val="1F497D" w:themeColor="text2"/>
          <w:sz w:val="22"/>
          <w:szCs w:val="22"/>
          <w:lang w:val="en"/>
        </w:rPr>
      </w:pPr>
      <w:r w:rsidRPr="00E41E05">
        <w:rPr>
          <w:rFonts w:ascii="Arial" w:hAnsi="Arial" w:cs="Arial"/>
          <w:b/>
          <w:color w:val="8064A2" w:themeColor="accent4"/>
          <w:sz w:val="22"/>
          <w:szCs w:val="22"/>
          <w:lang w:val="en"/>
        </w:rPr>
        <w:t>Step One</w:t>
      </w:r>
      <w:r w:rsidRPr="00E41E05">
        <w:rPr>
          <w:rFonts w:ascii="Arial" w:hAnsi="Arial" w:cs="Arial"/>
          <w:color w:val="8064A2" w:themeColor="accent4"/>
          <w:sz w:val="22"/>
          <w:szCs w:val="22"/>
          <w:lang w:val="en"/>
        </w:rPr>
        <w:t xml:space="preserve"> </w:t>
      </w:r>
      <w:r w:rsidRPr="00E41E05">
        <w:rPr>
          <w:rFonts w:ascii="Arial" w:hAnsi="Arial" w:cs="Arial"/>
          <w:color w:val="1F497D" w:themeColor="text2"/>
          <w:sz w:val="22"/>
          <w:szCs w:val="22"/>
          <w:lang w:val="en"/>
        </w:rPr>
        <w:t xml:space="preserve">- Contact the City's Parks and Gardens team on 9270 4152 or </w:t>
      </w:r>
      <w:hyperlink r:id="rId10" w:history="1">
        <w:r w:rsidRPr="00E41E05">
          <w:rPr>
            <w:rFonts w:ascii="Arial" w:hAnsi="Arial" w:cs="Arial"/>
            <w:color w:val="1F497D" w:themeColor="text2"/>
            <w:sz w:val="22"/>
            <w:szCs w:val="22"/>
          </w:rPr>
          <w:t>mail@bayswater.wa.gov.au</w:t>
        </w:r>
      </w:hyperlink>
      <w:r w:rsidRPr="00E41E05">
        <w:rPr>
          <w:rFonts w:ascii="Arial" w:hAnsi="Arial" w:cs="Arial"/>
          <w:color w:val="1F497D" w:themeColor="text2"/>
          <w:sz w:val="22"/>
          <w:szCs w:val="22"/>
          <w:lang w:val="en"/>
        </w:rPr>
        <w:t xml:space="preserve"> to discuss the initial edible pocket garden concept and location.</w:t>
      </w:r>
    </w:p>
    <w:p w:rsidR="00E41E05" w:rsidRPr="00E41E05" w:rsidRDefault="00E41E05" w:rsidP="0041150C">
      <w:pPr>
        <w:pStyle w:val="custommarkupelement-p"/>
        <w:numPr>
          <w:ilvl w:val="0"/>
          <w:numId w:val="10"/>
        </w:numPr>
        <w:spacing w:before="120" w:after="120"/>
        <w:ind w:left="547" w:right="-29"/>
        <w:jc w:val="both"/>
        <w:rPr>
          <w:rFonts w:ascii="Arial" w:hAnsi="Arial" w:cs="Arial"/>
          <w:color w:val="1F497D" w:themeColor="text2"/>
          <w:sz w:val="22"/>
          <w:szCs w:val="22"/>
          <w:lang w:val="en"/>
        </w:rPr>
      </w:pPr>
      <w:r w:rsidRPr="00E41E05">
        <w:rPr>
          <w:rFonts w:ascii="Arial" w:hAnsi="Arial" w:cs="Arial"/>
          <w:b/>
          <w:color w:val="9BBB59" w:themeColor="accent3"/>
          <w:sz w:val="22"/>
          <w:szCs w:val="22"/>
          <w:lang w:val="en"/>
        </w:rPr>
        <w:t>Step Two</w:t>
      </w:r>
      <w:r w:rsidRPr="00E41E05">
        <w:rPr>
          <w:rFonts w:ascii="Arial" w:hAnsi="Arial" w:cs="Arial"/>
          <w:color w:val="9BBB59" w:themeColor="accent3"/>
          <w:sz w:val="22"/>
          <w:szCs w:val="22"/>
          <w:lang w:val="en"/>
        </w:rPr>
        <w:t xml:space="preserve"> </w:t>
      </w:r>
      <w:r w:rsidRPr="00E41E05">
        <w:rPr>
          <w:rFonts w:ascii="Arial" w:hAnsi="Arial" w:cs="Arial"/>
          <w:color w:val="1F497D" w:themeColor="text2"/>
          <w:sz w:val="22"/>
          <w:szCs w:val="22"/>
          <w:lang w:val="en"/>
        </w:rPr>
        <w:t xml:space="preserve">- The City may approve the edible pocket garden, request the resident to provide a simple sketch of their proposal or ask to meet the resident </w:t>
      </w:r>
      <w:r w:rsidR="00B520AD">
        <w:rPr>
          <w:rFonts w:ascii="Arial" w:hAnsi="Arial" w:cs="Arial"/>
          <w:color w:val="1F497D" w:themeColor="text2"/>
          <w:sz w:val="22"/>
          <w:szCs w:val="22"/>
          <w:lang w:val="en"/>
        </w:rPr>
        <w:t>on site to help provide advice o</w:t>
      </w:r>
      <w:r w:rsidRPr="00E41E05">
        <w:rPr>
          <w:rFonts w:ascii="Arial" w:hAnsi="Arial" w:cs="Arial"/>
          <w:color w:val="1F497D" w:themeColor="text2"/>
          <w:sz w:val="22"/>
          <w:szCs w:val="22"/>
          <w:lang w:val="en"/>
        </w:rPr>
        <w:t>n how they can meet the Edible Pocket Garden Guidelines.</w:t>
      </w:r>
    </w:p>
    <w:p w:rsidR="00E41E05" w:rsidRPr="00E41E05" w:rsidRDefault="00E41E05" w:rsidP="0041150C">
      <w:pPr>
        <w:pStyle w:val="custommarkupelement-p"/>
        <w:numPr>
          <w:ilvl w:val="0"/>
          <w:numId w:val="10"/>
        </w:numPr>
        <w:spacing w:before="120" w:after="120"/>
        <w:ind w:left="547" w:right="-29"/>
        <w:jc w:val="both"/>
        <w:rPr>
          <w:rFonts w:ascii="Arial" w:hAnsi="Arial" w:cs="Arial"/>
          <w:color w:val="1F497D" w:themeColor="text2"/>
          <w:sz w:val="22"/>
          <w:szCs w:val="22"/>
          <w:lang w:val="en"/>
        </w:rPr>
      </w:pPr>
      <w:r w:rsidRPr="00E41E05">
        <w:rPr>
          <w:rFonts w:ascii="Arial" w:hAnsi="Arial" w:cs="Arial"/>
          <w:b/>
          <w:color w:val="4BACC6" w:themeColor="accent5"/>
          <w:sz w:val="22"/>
          <w:szCs w:val="22"/>
          <w:lang w:val="en"/>
        </w:rPr>
        <w:t>Step Three</w:t>
      </w:r>
      <w:r w:rsidRPr="00E41E05">
        <w:rPr>
          <w:rFonts w:ascii="Arial" w:hAnsi="Arial" w:cs="Arial"/>
          <w:color w:val="4BACC6" w:themeColor="accent5"/>
          <w:sz w:val="22"/>
          <w:szCs w:val="22"/>
          <w:lang w:val="en"/>
        </w:rPr>
        <w:t xml:space="preserve"> </w:t>
      </w:r>
      <w:r w:rsidRPr="00E41E05">
        <w:rPr>
          <w:rFonts w:ascii="Arial" w:hAnsi="Arial" w:cs="Arial"/>
          <w:color w:val="1F497D" w:themeColor="text2"/>
          <w:sz w:val="22"/>
          <w:szCs w:val="22"/>
          <w:lang w:val="en"/>
        </w:rPr>
        <w:t>- The City will provide written approval for the resident to proce</w:t>
      </w:r>
      <w:r w:rsidR="00B520AD">
        <w:rPr>
          <w:rFonts w:ascii="Arial" w:hAnsi="Arial" w:cs="Arial"/>
          <w:color w:val="1F497D" w:themeColor="text2"/>
          <w:sz w:val="22"/>
          <w:szCs w:val="22"/>
          <w:lang w:val="en"/>
        </w:rPr>
        <w:t>ed or if the project location i</w:t>
      </w:r>
      <w:r w:rsidRPr="00E41E05">
        <w:rPr>
          <w:rFonts w:ascii="Arial" w:hAnsi="Arial" w:cs="Arial"/>
          <w:color w:val="1F497D" w:themeColor="text2"/>
          <w:sz w:val="22"/>
          <w:szCs w:val="22"/>
          <w:lang w:val="en"/>
        </w:rPr>
        <w:t>s not suitable the resident will receive an explanation.</w:t>
      </w:r>
    </w:p>
    <w:p w:rsidR="00E41E05" w:rsidRPr="00E41E05" w:rsidRDefault="00E41E05" w:rsidP="00E41E05">
      <w:pPr>
        <w:pStyle w:val="custommarkupelement-p"/>
        <w:numPr>
          <w:ilvl w:val="0"/>
          <w:numId w:val="10"/>
        </w:numPr>
        <w:spacing w:before="120" w:after="120"/>
        <w:ind w:left="540" w:right="-34"/>
        <w:jc w:val="both"/>
        <w:rPr>
          <w:rFonts w:ascii="Arial" w:hAnsi="Arial" w:cs="Arial"/>
          <w:color w:val="1F497D" w:themeColor="text2"/>
          <w:sz w:val="22"/>
          <w:szCs w:val="22"/>
          <w:lang w:val="en"/>
        </w:rPr>
      </w:pPr>
      <w:r w:rsidRPr="00E41E05">
        <w:rPr>
          <w:rFonts w:ascii="Arial" w:hAnsi="Arial" w:cs="Arial"/>
          <w:b/>
          <w:color w:val="F79646" w:themeColor="accent6"/>
          <w:sz w:val="22"/>
          <w:szCs w:val="22"/>
          <w:lang w:val="en"/>
        </w:rPr>
        <w:t>Step Four</w:t>
      </w:r>
      <w:r w:rsidRPr="00E41E05">
        <w:rPr>
          <w:rFonts w:ascii="Arial" w:hAnsi="Arial" w:cs="Arial"/>
          <w:color w:val="F79646" w:themeColor="accent6"/>
          <w:sz w:val="22"/>
          <w:szCs w:val="22"/>
          <w:lang w:val="en"/>
        </w:rPr>
        <w:t xml:space="preserve"> </w:t>
      </w:r>
      <w:r w:rsidRPr="00E41E05">
        <w:rPr>
          <w:rFonts w:ascii="Arial" w:hAnsi="Arial" w:cs="Arial"/>
          <w:color w:val="1F497D" w:themeColor="text2"/>
          <w:sz w:val="22"/>
          <w:szCs w:val="22"/>
          <w:lang w:val="en"/>
        </w:rPr>
        <w:t>- City officers will inspect the garden following initial installation as well as undertake an annual inspection to ensure the garden meets the requirements of the guidelines.</w:t>
      </w:r>
      <w:r w:rsidR="000767CA">
        <w:rPr>
          <w:rFonts w:ascii="Arial" w:hAnsi="Arial" w:cs="Arial"/>
          <w:color w:val="1F497D" w:themeColor="text2"/>
          <w:sz w:val="22"/>
          <w:szCs w:val="22"/>
          <w:lang w:val="en"/>
        </w:rPr>
        <w:t xml:space="preserve"> It should </w:t>
      </w:r>
      <w:r w:rsidRPr="00E41E05">
        <w:rPr>
          <w:rFonts w:ascii="Arial" w:hAnsi="Arial" w:cs="Arial"/>
          <w:color w:val="1F497D" w:themeColor="text2"/>
          <w:sz w:val="22"/>
          <w:szCs w:val="22"/>
          <w:lang w:val="en"/>
        </w:rPr>
        <w:t>be noted that informal periodic inspections will also be undertaken during park maintenance activities.</w:t>
      </w:r>
    </w:p>
    <w:p w:rsidR="00E41E05" w:rsidRDefault="00F01F4F" w:rsidP="00E41E05">
      <w:pPr>
        <w:pStyle w:val="Heading1"/>
        <w:spacing w:before="120" w:after="120"/>
        <w:ind w:left="180" w:right="-34"/>
        <w:rPr>
          <w:rFonts w:cs="Arial"/>
          <w:b/>
          <w:color w:val="1F497D" w:themeColor="text2"/>
          <w:sz w:val="20"/>
          <w:u w:val="single" w:color="1F497D"/>
        </w:rPr>
      </w:pPr>
      <w:r>
        <w:rPr>
          <w:noProof/>
          <w:lang w:val="en-US"/>
        </w:rPr>
        <w:drawing>
          <wp:anchor distT="0" distB="0" distL="114300" distR="114300" simplePos="0" relativeHeight="251659264" behindDoc="0" locked="0" layoutInCell="1" allowOverlap="1">
            <wp:simplePos x="0" y="0"/>
            <wp:positionH relativeFrom="column">
              <wp:posOffset>4499086</wp:posOffset>
            </wp:positionH>
            <wp:positionV relativeFrom="paragraph">
              <wp:posOffset>201930</wp:posOffset>
            </wp:positionV>
            <wp:extent cx="1713865" cy="1136015"/>
            <wp:effectExtent l="365125" t="187325" r="327660" b="175260"/>
            <wp:wrapSquare wrapText="bothSides"/>
            <wp:docPr id="34" name="Picture 34" descr="Voedsel, Verse, Vruchten, Citroen, K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edsel, Verse, Vruchten, Citroen, Ka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86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E05" w:rsidRPr="00E41E05" w:rsidRDefault="00E41E05" w:rsidP="00E41E05">
      <w:pPr>
        <w:pStyle w:val="Heading1"/>
        <w:spacing w:before="120" w:after="120"/>
        <w:ind w:left="180" w:right="-34"/>
        <w:rPr>
          <w:rFonts w:ascii="Arial" w:hAnsi="Arial" w:cs="Arial"/>
          <w:b/>
          <w:color w:val="1F497D" w:themeColor="text2"/>
          <w:sz w:val="22"/>
          <w:szCs w:val="22"/>
          <w:u w:val="single" w:color="1F497D"/>
        </w:rPr>
      </w:pPr>
      <w:r w:rsidRPr="00E41E05">
        <w:rPr>
          <w:rFonts w:ascii="Arial" w:hAnsi="Arial" w:cs="Arial"/>
          <w:b/>
          <w:color w:val="1F497D" w:themeColor="text2"/>
          <w:sz w:val="22"/>
          <w:szCs w:val="22"/>
          <w:u w:val="single" w:color="1F497D"/>
        </w:rPr>
        <w:t>Edible Pocket Garden Design</w:t>
      </w:r>
      <w:r w:rsidRPr="00E41E05">
        <w:rPr>
          <w:rFonts w:ascii="Arial" w:hAnsi="Arial" w:cs="Arial"/>
          <w:b/>
          <w:color w:val="1F497D" w:themeColor="text2"/>
          <w:spacing w:val="-14"/>
          <w:sz w:val="22"/>
          <w:szCs w:val="22"/>
          <w:u w:val="single" w:color="1F497D"/>
        </w:rPr>
        <w:t xml:space="preserve"> </w:t>
      </w:r>
      <w:r w:rsidRPr="00E41E05">
        <w:rPr>
          <w:rFonts w:ascii="Arial" w:hAnsi="Arial" w:cs="Arial"/>
          <w:b/>
          <w:color w:val="1F497D" w:themeColor="text2"/>
          <w:sz w:val="22"/>
          <w:szCs w:val="22"/>
          <w:u w:val="single" w:color="1F497D"/>
        </w:rPr>
        <w:t>Guidelines</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The edible pocket gardens should positively contribute to the reserve or community and not conflict with the existing use of the reserve by the community.</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The design should not require significant changes to parks landscaping regimes which could result in increased costs to the City.</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 xml:space="preserve">The design should consider the existing assets in the location and not impact above or below ground services. </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The design should consider the location of existing vegetation (trees, shrubs etc.) and ensure it does not have a negative impact on the health or future growth of the vegetation.</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 xml:space="preserve">The design should not include plants that may reasonably be considered to pose a hazard to people; such as plants that are poisonous, have large thorns or cause common allergic reactions.  </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bookmarkStart w:id="0" w:name="_GoBack"/>
      <w:bookmarkEnd w:id="0"/>
      <w:r w:rsidRPr="00E41E05">
        <w:rPr>
          <w:rFonts w:ascii="Arial" w:hAnsi="Arial" w:cs="Arial"/>
          <w:color w:val="1F497D" w:themeColor="text2"/>
          <w:sz w:val="22"/>
          <w:szCs w:val="22"/>
          <w:lang w:val="en"/>
        </w:rPr>
        <w:t>Undue hazards and sharp objects such as star pickets cannot be placed in the garden.</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Edible pocket gardens are not to be fenced and will be accessible to all members of the community.</w:t>
      </w:r>
    </w:p>
    <w:p w:rsidR="00E41E05" w:rsidRP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 xml:space="preserve">Applicants should consider avoiding the installation of plants that have high water consumption rates. </w:t>
      </w:r>
    </w:p>
    <w:p w:rsidR="00E41E05" w:rsidRDefault="00E41E05" w:rsidP="00E41E05">
      <w:pPr>
        <w:pStyle w:val="custommarkupelement-p"/>
        <w:numPr>
          <w:ilvl w:val="0"/>
          <w:numId w:val="7"/>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Applicants should consider the list of suitable plants for edible pocket gardens on the City website.</w:t>
      </w:r>
    </w:p>
    <w:p w:rsidR="00E41E05" w:rsidRPr="00E41E05" w:rsidRDefault="00F01F4F" w:rsidP="00E41E05">
      <w:pPr>
        <w:pStyle w:val="custommarkupelement-p"/>
        <w:spacing w:before="120" w:after="120"/>
        <w:ind w:left="540" w:right="-34"/>
        <w:jc w:val="both"/>
        <w:rPr>
          <w:rFonts w:ascii="Arial" w:hAnsi="Arial" w:cs="Arial"/>
          <w:color w:val="1F497D" w:themeColor="text2"/>
          <w:sz w:val="22"/>
          <w:szCs w:val="22"/>
          <w:lang w:val="en"/>
        </w:rPr>
      </w:pPr>
      <w:r>
        <w:rPr>
          <w:noProof/>
          <w:lang w:val="en-US" w:eastAsia="en-US"/>
        </w:rPr>
        <w:lastRenderedPageBreak/>
        <w:drawing>
          <wp:anchor distT="0" distB="0" distL="114300" distR="114300" simplePos="0" relativeHeight="251658240" behindDoc="0" locked="0" layoutInCell="1" allowOverlap="1">
            <wp:simplePos x="0" y="0"/>
            <wp:positionH relativeFrom="column">
              <wp:posOffset>4912360</wp:posOffset>
            </wp:positionH>
            <wp:positionV relativeFrom="paragraph">
              <wp:posOffset>17780</wp:posOffset>
            </wp:positionV>
            <wp:extent cx="1311910" cy="1311910"/>
            <wp:effectExtent l="0" t="0" r="2540" b="2540"/>
            <wp:wrapSquare wrapText="bothSides"/>
            <wp:docPr id="33" name="Picture 33" descr="Apple, Voedsel, Vru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Voedsel, Vrucht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91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E05" w:rsidRPr="00E41E05" w:rsidRDefault="00E41E05" w:rsidP="00E41E05">
      <w:pPr>
        <w:pStyle w:val="Heading1"/>
        <w:spacing w:before="120" w:after="120" w:line="273" w:lineRule="auto"/>
        <w:ind w:left="180" w:right="-35"/>
        <w:rPr>
          <w:rFonts w:ascii="Arial" w:hAnsi="Arial" w:cs="Arial"/>
          <w:b/>
          <w:color w:val="1F497D" w:themeColor="text2"/>
          <w:sz w:val="22"/>
          <w:szCs w:val="22"/>
          <w:u w:val="single" w:color="1F497D"/>
        </w:rPr>
      </w:pPr>
      <w:r w:rsidRPr="00E41E05">
        <w:rPr>
          <w:rFonts w:ascii="Arial" w:hAnsi="Arial" w:cs="Arial"/>
          <w:b/>
          <w:color w:val="1F497D" w:themeColor="text2"/>
          <w:sz w:val="22"/>
          <w:szCs w:val="22"/>
          <w:u w:val="single" w:color="1F497D"/>
        </w:rPr>
        <w:t>Responsibilities of Residents</w:t>
      </w:r>
    </w:p>
    <w:p w:rsidR="000767CA" w:rsidRDefault="000767CA" w:rsidP="000767CA">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Contact utility providers or 'dial befo</w:t>
      </w:r>
      <w:r>
        <w:rPr>
          <w:rFonts w:ascii="Arial" w:hAnsi="Arial" w:cs="Arial"/>
          <w:color w:val="1F497D" w:themeColor="text2"/>
          <w:sz w:val="22"/>
          <w:szCs w:val="22"/>
          <w:lang w:val="en"/>
        </w:rPr>
        <w:t>re you dig' to ensure that the</w:t>
      </w:r>
      <w:r w:rsidRPr="00E41E05">
        <w:rPr>
          <w:rFonts w:ascii="Arial" w:hAnsi="Arial" w:cs="Arial"/>
          <w:color w:val="1F497D" w:themeColor="text2"/>
          <w:sz w:val="22"/>
          <w:szCs w:val="22"/>
          <w:lang w:val="en"/>
        </w:rPr>
        <w:t xml:space="preserve"> edible pocket garden will not impact on existing infrastructure.</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Ensure that an approval by the City has been granted before works begin.</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Should the edible pocket garden be proposed to be directly adjacent to a private property, a letter of support must be sought from the property owner.</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Ensure that the edible pocket garden meets and continues to meet the Edible Pocket Garden Guidelines.</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Ensure that the site conditions of the reserve meet the choice of plants to be grown in the garden.</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Ensure that the garden is well maintained; including that produce is harvested regularly, managed for fruit fly (if relevant) and the site is weed and pest free.  Chemical pesticides and herbicides are not permitted to be applied to gardens.</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Supply and purchase of resources required for the garden</w:t>
      </w:r>
      <w:r w:rsidR="000767CA">
        <w:rPr>
          <w:rFonts w:ascii="Arial" w:hAnsi="Arial" w:cs="Arial"/>
          <w:color w:val="1F497D" w:themeColor="text2"/>
          <w:sz w:val="22"/>
          <w:szCs w:val="22"/>
          <w:lang w:val="en"/>
        </w:rPr>
        <w:t xml:space="preserve"> are at the residents’ expense</w:t>
      </w:r>
      <w:r w:rsidRPr="00E41E05">
        <w:rPr>
          <w:rFonts w:ascii="Arial" w:hAnsi="Arial" w:cs="Arial"/>
          <w:color w:val="1F497D" w:themeColor="text2"/>
          <w:sz w:val="22"/>
          <w:szCs w:val="22"/>
          <w:lang w:val="en"/>
        </w:rPr>
        <w:t xml:space="preserve">. </w:t>
      </w:r>
    </w:p>
    <w:p w:rsidR="00E41E05" w:rsidRPr="00E41E05" w:rsidRDefault="00E41E05"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sidRPr="00E41E05">
        <w:rPr>
          <w:rFonts w:ascii="Arial" w:hAnsi="Arial" w:cs="Arial"/>
          <w:color w:val="1F497D" w:themeColor="text2"/>
          <w:sz w:val="22"/>
          <w:szCs w:val="22"/>
          <w:lang w:val="en"/>
        </w:rPr>
        <w:t>Residents are responsible for their own safety and wearing of adequate personal protective equipment.</w:t>
      </w:r>
    </w:p>
    <w:p w:rsidR="00E41E05" w:rsidRPr="00E41E05" w:rsidRDefault="000767CA"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Pr>
          <w:rFonts w:ascii="Arial" w:hAnsi="Arial" w:cs="Arial"/>
          <w:color w:val="1F497D" w:themeColor="text2"/>
          <w:sz w:val="22"/>
          <w:szCs w:val="22"/>
          <w:lang w:val="en"/>
        </w:rPr>
        <w:t>Ensure t</w:t>
      </w:r>
      <w:r w:rsidR="00E41E05" w:rsidRPr="00E41E05">
        <w:rPr>
          <w:rFonts w:ascii="Arial" w:hAnsi="Arial" w:cs="Arial"/>
          <w:color w:val="1F497D" w:themeColor="text2"/>
          <w:sz w:val="22"/>
          <w:szCs w:val="22"/>
          <w:lang w:val="en"/>
        </w:rPr>
        <w:t xml:space="preserve">hat the site is left in a safe condition for other park users at all times. </w:t>
      </w:r>
    </w:p>
    <w:p w:rsidR="00E41E05" w:rsidRPr="00E41E05" w:rsidRDefault="000767CA" w:rsidP="00E41E05">
      <w:pPr>
        <w:pStyle w:val="custommarkupelement-p"/>
        <w:numPr>
          <w:ilvl w:val="0"/>
          <w:numId w:val="8"/>
        </w:numPr>
        <w:spacing w:before="120" w:after="120"/>
        <w:ind w:left="540" w:right="-34"/>
        <w:jc w:val="both"/>
        <w:rPr>
          <w:rFonts w:ascii="Arial" w:hAnsi="Arial" w:cs="Arial"/>
          <w:color w:val="1F497D" w:themeColor="text2"/>
          <w:sz w:val="22"/>
          <w:szCs w:val="22"/>
          <w:lang w:val="en"/>
        </w:rPr>
      </w:pPr>
      <w:r>
        <w:rPr>
          <w:rFonts w:ascii="Arial" w:hAnsi="Arial" w:cs="Arial"/>
          <w:color w:val="1F497D" w:themeColor="text2"/>
          <w:sz w:val="22"/>
          <w:szCs w:val="22"/>
          <w:lang w:val="en"/>
        </w:rPr>
        <w:t>Ensure that t</w:t>
      </w:r>
      <w:r w:rsidR="00E41E05" w:rsidRPr="00E41E05">
        <w:rPr>
          <w:rFonts w:ascii="Arial" w:hAnsi="Arial" w:cs="Arial"/>
          <w:color w:val="1F497D" w:themeColor="text2"/>
          <w:sz w:val="22"/>
          <w:szCs w:val="22"/>
          <w:lang w:val="en"/>
        </w:rPr>
        <w:t>ools and materials are not to be left on site.</w:t>
      </w:r>
    </w:p>
    <w:p w:rsidR="00E41E05" w:rsidRPr="00E41E05" w:rsidRDefault="00E41E05" w:rsidP="00E41E05">
      <w:pPr>
        <w:pStyle w:val="custommarkupelement-p"/>
        <w:spacing w:before="120" w:after="120"/>
        <w:ind w:left="540" w:right="-34"/>
        <w:jc w:val="both"/>
        <w:rPr>
          <w:rFonts w:ascii="Arial" w:hAnsi="Arial" w:cs="Arial"/>
          <w:color w:val="1F497D" w:themeColor="text2"/>
          <w:sz w:val="22"/>
          <w:szCs w:val="22"/>
          <w:lang w:val="en"/>
        </w:rPr>
      </w:pPr>
    </w:p>
    <w:p w:rsidR="00E41E05" w:rsidRPr="00E41E05" w:rsidRDefault="00E41E05" w:rsidP="00E41E05">
      <w:pPr>
        <w:pStyle w:val="Heading1"/>
        <w:spacing w:before="120" w:after="120" w:line="273" w:lineRule="auto"/>
        <w:ind w:left="90" w:right="-35"/>
        <w:rPr>
          <w:rFonts w:ascii="Arial" w:hAnsi="Arial" w:cs="Arial"/>
          <w:b/>
          <w:color w:val="1F497D" w:themeColor="text2"/>
          <w:sz w:val="22"/>
          <w:szCs w:val="22"/>
          <w:u w:val="single" w:color="1F497D"/>
        </w:rPr>
      </w:pPr>
      <w:r w:rsidRPr="00E41E05">
        <w:rPr>
          <w:rFonts w:ascii="Arial" w:hAnsi="Arial" w:cs="Arial"/>
          <w:b/>
          <w:color w:val="1F497D" w:themeColor="text2"/>
          <w:sz w:val="22"/>
          <w:szCs w:val="22"/>
          <w:u w:val="single" w:color="1F497D"/>
        </w:rPr>
        <w:t>Things to consider</w:t>
      </w:r>
      <w:r w:rsidR="00F01F4F">
        <w:rPr>
          <w:rFonts w:ascii="Arial" w:hAnsi="Arial" w:cs="Arial"/>
          <w:b/>
          <w:color w:val="1F497D" w:themeColor="text2"/>
          <w:sz w:val="22"/>
          <w:szCs w:val="22"/>
          <w:u w:val="single" w:color="1F497D"/>
        </w:rPr>
        <w:t xml:space="preserve"> </w:t>
      </w:r>
    </w:p>
    <w:p w:rsidR="00E41E05" w:rsidRPr="00E41E05" w:rsidRDefault="00F01F4F" w:rsidP="00E41E05">
      <w:pPr>
        <w:pStyle w:val="ListParagraph"/>
        <w:widowControl w:val="0"/>
        <w:numPr>
          <w:ilvl w:val="0"/>
          <w:numId w:val="9"/>
        </w:numPr>
        <w:spacing w:before="120" w:after="120" w:line="240" w:lineRule="auto"/>
        <w:ind w:left="540" w:right="-35" w:hanging="360"/>
        <w:contextualSpacing w:val="0"/>
        <w:jc w:val="both"/>
        <w:rPr>
          <w:rFonts w:ascii="Arial" w:hAnsi="Arial" w:cs="Arial"/>
          <w:color w:val="1F497D" w:themeColor="text2"/>
        </w:rPr>
      </w:pPr>
      <w:r>
        <w:rPr>
          <w:noProof/>
          <w:lang w:val="en-US"/>
        </w:rPr>
        <w:drawing>
          <wp:anchor distT="0" distB="0" distL="114300" distR="114300" simplePos="0" relativeHeight="251660288" behindDoc="0" locked="0" layoutInCell="1" allowOverlap="1">
            <wp:simplePos x="0" y="0"/>
            <wp:positionH relativeFrom="margin">
              <wp:posOffset>4953000</wp:posOffset>
            </wp:positionH>
            <wp:positionV relativeFrom="paragraph">
              <wp:posOffset>10160</wp:posOffset>
            </wp:positionV>
            <wp:extent cx="1640840" cy="1228725"/>
            <wp:effectExtent l="0" t="0" r="0" b="9525"/>
            <wp:wrapSquare wrapText="bothSides"/>
            <wp:docPr id="4" name="Picture 4" descr="Amandelen, Moeren, Heerlijke, Knabb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ndelen, Moeren, Heerlijke, Knabbel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4084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E05" w:rsidRPr="00E41E05">
        <w:rPr>
          <w:rFonts w:ascii="Arial" w:hAnsi="Arial" w:cs="Arial"/>
          <w:color w:val="1F497D" w:themeColor="text2"/>
        </w:rPr>
        <w:t>This activity is considered to be a private or recreational pursuit and as such the City is not responsible for personal injury caused by a member of the public to themselves or a third party.</w:t>
      </w:r>
    </w:p>
    <w:p w:rsidR="00E41E05" w:rsidRPr="00E41E05" w:rsidRDefault="00E41E05" w:rsidP="00E41E05">
      <w:pPr>
        <w:pStyle w:val="ListParagraph"/>
        <w:widowControl w:val="0"/>
        <w:numPr>
          <w:ilvl w:val="0"/>
          <w:numId w:val="9"/>
        </w:numPr>
        <w:spacing w:before="120" w:after="120" w:line="240" w:lineRule="auto"/>
        <w:ind w:left="540" w:right="-35" w:hanging="360"/>
        <w:contextualSpacing w:val="0"/>
        <w:jc w:val="both"/>
        <w:rPr>
          <w:rFonts w:ascii="Arial" w:hAnsi="Arial" w:cs="Arial"/>
          <w:color w:val="1F497D" w:themeColor="text2"/>
        </w:rPr>
      </w:pPr>
      <w:r w:rsidRPr="00E41E05">
        <w:rPr>
          <w:rFonts w:ascii="Arial" w:hAnsi="Arial" w:cs="Arial"/>
          <w:color w:val="1F497D" w:themeColor="text2"/>
        </w:rPr>
        <w:t>Discuss your project with your neighbours and reserve users to identify any potential competing uses of the reserve, or if they would like to help build and maintain it.</w:t>
      </w:r>
    </w:p>
    <w:p w:rsidR="00E41E05" w:rsidRDefault="00E41E05" w:rsidP="00E41E05">
      <w:pPr>
        <w:pStyle w:val="ListParagraph"/>
        <w:widowControl w:val="0"/>
        <w:numPr>
          <w:ilvl w:val="0"/>
          <w:numId w:val="9"/>
        </w:numPr>
        <w:spacing w:before="120" w:after="120" w:line="240" w:lineRule="auto"/>
        <w:ind w:left="540" w:right="-35" w:hanging="360"/>
        <w:contextualSpacing w:val="0"/>
        <w:jc w:val="both"/>
        <w:rPr>
          <w:rFonts w:ascii="Arial" w:hAnsi="Arial" w:cs="Arial"/>
          <w:color w:val="1F497D" w:themeColor="text2"/>
        </w:rPr>
      </w:pPr>
      <w:r w:rsidRPr="00E41E05">
        <w:rPr>
          <w:rFonts w:ascii="Arial" w:hAnsi="Arial" w:cs="Arial"/>
          <w:color w:val="1F497D" w:themeColor="text2"/>
        </w:rPr>
        <w:t>The community will have access to the garden and you will not be the owner of the produce.  The City will not be involved in regulating the distribution of produce from edible pocket gardens in any way.</w:t>
      </w:r>
    </w:p>
    <w:p w:rsidR="00E41E05" w:rsidRPr="00E41E05" w:rsidRDefault="00E41E05" w:rsidP="00E41E05">
      <w:pPr>
        <w:pStyle w:val="ListParagraph"/>
        <w:widowControl w:val="0"/>
        <w:spacing w:before="120" w:after="120" w:line="240" w:lineRule="auto"/>
        <w:ind w:left="540" w:right="-35"/>
        <w:contextualSpacing w:val="0"/>
        <w:jc w:val="both"/>
        <w:rPr>
          <w:rFonts w:ascii="Arial" w:hAnsi="Arial" w:cs="Arial"/>
          <w:color w:val="1F497D" w:themeColor="text2"/>
        </w:rPr>
      </w:pPr>
    </w:p>
    <w:p w:rsidR="00E41E05" w:rsidRPr="00E41E05" w:rsidRDefault="00E41E05" w:rsidP="00E41E05">
      <w:pPr>
        <w:pStyle w:val="BodyText"/>
        <w:spacing w:before="120" w:after="120" w:line="276" w:lineRule="auto"/>
        <w:ind w:left="90" w:right="-34" w:firstLine="0"/>
        <w:jc w:val="both"/>
        <w:rPr>
          <w:rFonts w:ascii="Arial" w:hAnsi="Arial" w:cs="Arial"/>
        </w:rPr>
      </w:pPr>
      <w:r w:rsidRPr="00E41E05">
        <w:rPr>
          <w:rFonts w:ascii="Arial" w:hAnsi="Arial" w:cs="Arial"/>
          <w:color w:val="1F497D" w:themeColor="text2"/>
          <w:lang w:val="en"/>
        </w:rPr>
        <w:t xml:space="preserve">If a garden is considered to pose a safety hazard, </w:t>
      </w:r>
      <w:r w:rsidRPr="00E41E05">
        <w:rPr>
          <w:rFonts w:ascii="Arial" w:hAnsi="Arial" w:cs="Arial"/>
          <w:color w:val="1F497D" w:themeColor="text2"/>
        </w:rPr>
        <w:t xml:space="preserve">does not meet the design guidelines or resident responsibility criteria, </w:t>
      </w:r>
      <w:r w:rsidRPr="00E41E05">
        <w:rPr>
          <w:rFonts w:ascii="Arial" w:hAnsi="Arial" w:cs="Arial"/>
          <w:color w:val="1F497D" w:themeColor="text2"/>
          <w:lang w:val="en"/>
        </w:rPr>
        <w:t>the City may ask you to undertake works to meet these requirements or remove the edible pocket garden. Gardens may have to be disturbed to allow access for utility service providers, installation of infrastructure or reserve maintenance works.</w:t>
      </w:r>
      <w:r w:rsidRPr="00E41E05">
        <w:rPr>
          <w:rFonts w:ascii="Arial" w:hAnsi="Arial" w:cs="Arial"/>
          <w:color w:val="1F497D" w:themeColor="text2"/>
        </w:rPr>
        <w:t xml:space="preserve"> In these cases the design of the garden should take into consideration potential access requirements and any disturbed area may be returned to level ground if no other access alternatives are available.</w:t>
      </w:r>
    </w:p>
    <w:p w:rsidR="00C42BA5" w:rsidRDefault="00E41E05" w:rsidP="00E41E05">
      <w:pPr>
        <w:pStyle w:val="BodyText"/>
        <w:spacing w:before="120" w:after="120" w:line="276" w:lineRule="auto"/>
        <w:ind w:left="90" w:right="-34" w:firstLine="0"/>
        <w:jc w:val="both"/>
        <w:rPr>
          <w:rFonts w:cs="Arial"/>
        </w:rPr>
      </w:pPr>
      <w:r w:rsidRPr="00E41E05">
        <w:rPr>
          <w:rFonts w:ascii="Arial" w:hAnsi="Arial" w:cs="Arial"/>
          <w:color w:val="1F497D" w:themeColor="text2"/>
        </w:rPr>
        <w:t xml:space="preserve">This guideline is not intended to be applied to community gardens which are considered to have a more </w:t>
      </w:r>
      <w:proofErr w:type="spellStart"/>
      <w:r w:rsidRPr="00E41E05">
        <w:rPr>
          <w:rFonts w:ascii="Arial" w:hAnsi="Arial" w:cs="Arial"/>
          <w:color w:val="1F497D" w:themeColor="text2"/>
        </w:rPr>
        <w:t>formalised</w:t>
      </w:r>
      <w:proofErr w:type="spellEnd"/>
      <w:r w:rsidRPr="00E41E05">
        <w:rPr>
          <w:rFonts w:ascii="Arial" w:hAnsi="Arial" w:cs="Arial"/>
          <w:color w:val="1F497D" w:themeColor="text2"/>
        </w:rPr>
        <w:t xml:space="preserve"> governance structure and/or be larger in scale. The City will develop further supporting documents </w:t>
      </w:r>
      <w:r w:rsidR="00EE500F">
        <w:rPr>
          <w:rFonts w:ascii="Arial" w:hAnsi="Arial" w:cs="Arial"/>
          <w:color w:val="1F497D" w:themeColor="text2"/>
        </w:rPr>
        <w:t>for community gardens in 2020</w:t>
      </w:r>
      <w:r>
        <w:rPr>
          <w:rFonts w:ascii="Arial" w:hAnsi="Arial" w:cs="Arial"/>
          <w:color w:val="1F497D" w:themeColor="text2"/>
        </w:rPr>
        <w:t xml:space="preserve">. </w:t>
      </w:r>
    </w:p>
    <w:sectPr w:rsidR="00C42BA5" w:rsidSect="0041150C">
      <w:headerReference w:type="default" r:id="rId14"/>
      <w:headerReference w:type="first" r:id="rId15"/>
      <w:pgSz w:w="11906" w:h="16838"/>
      <w:pgMar w:top="1985" w:right="1440" w:bottom="450" w:left="652" w:header="76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60" w:rsidRDefault="003B6760" w:rsidP="00C35431">
      <w:pPr>
        <w:spacing w:after="0" w:line="240" w:lineRule="auto"/>
      </w:pPr>
      <w:r>
        <w:separator/>
      </w:r>
    </w:p>
  </w:endnote>
  <w:endnote w:type="continuationSeparator" w:id="0">
    <w:p w:rsidR="003B6760" w:rsidRDefault="003B6760"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60" w:rsidRDefault="003B6760" w:rsidP="00C35431">
      <w:pPr>
        <w:spacing w:after="0" w:line="240" w:lineRule="auto"/>
      </w:pPr>
      <w:r>
        <w:separator/>
      </w:r>
    </w:p>
  </w:footnote>
  <w:footnote w:type="continuationSeparator" w:id="0">
    <w:p w:rsidR="003B6760" w:rsidRDefault="003B6760"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30" w:rsidRPr="00350521" w:rsidRDefault="00E64730" w:rsidP="00DB6E4A">
    <w:pPr>
      <w:pStyle w:val="Header"/>
      <w:jc w:val="right"/>
      <w:rPr>
        <w:rFonts w:cs="Arial"/>
        <w:b/>
        <w:color w:val="FFFFFF"/>
        <w:sz w:val="24"/>
      </w:rPr>
    </w:pPr>
    <w:r w:rsidRPr="00350521">
      <w:rPr>
        <w:rFonts w:cs="Arial"/>
        <w:b/>
        <w:noProof/>
        <w:color w:val="FFFFFF"/>
        <w:sz w:val="24"/>
        <w:lang w:val="en-US"/>
      </w:rPr>
      <w:drawing>
        <wp:anchor distT="0" distB="0" distL="114300" distR="114300" simplePos="0" relativeHeight="251658239" behindDoc="1" locked="0" layoutInCell="1" allowOverlap="1" wp14:anchorId="690352A2" wp14:editId="22058239">
          <wp:simplePos x="0" y="0"/>
          <wp:positionH relativeFrom="column">
            <wp:posOffset>-412750</wp:posOffset>
          </wp:positionH>
          <wp:positionV relativeFrom="page">
            <wp:posOffset>-3175</wp:posOffset>
          </wp:positionV>
          <wp:extent cx="7553325" cy="91440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HEADER_FOLLOWER.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332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21" w:rsidRPr="00350521" w:rsidRDefault="00181564" w:rsidP="006120E5">
    <w:r>
      <w:rPr>
        <w:noProof/>
        <w:lang w:val="en-US"/>
      </w:rPr>
      <w:drawing>
        <wp:anchor distT="0" distB="0" distL="114300" distR="114300" simplePos="0" relativeHeight="251660287" behindDoc="1" locked="0" layoutInCell="1" allowOverlap="1" wp14:anchorId="61237E11" wp14:editId="74A688D5">
          <wp:simplePos x="0" y="0"/>
          <wp:positionH relativeFrom="column">
            <wp:posOffset>-416560</wp:posOffset>
          </wp:positionH>
          <wp:positionV relativeFrom="page">
            <wp:posOffset>12337</wp:posOffset>
          </wp:positionV>
          <wp:extent cx="7553325" cy="1727835"/>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_HEADER_CONTACTS.png"/>
                  <pic:cNvPicPr/>
                </pic:nvPicPr>
                <pic:blipFill rotWithShape="1">
                  <a:blip r:embed="rId1" cstate="print">
                    <a:extLst>
                      <a:ext uri="{28A0092B-C50C-407E-A947-70E740481C1C}">
                        <a14:useLocalDpi xmlns:a14="http://schemas.microsoft.com/office/drawing/2010/main"/>
                      </a:ext>
                    </a:extLst>
                  </a:blip>
                  <a:srcRect b="83831"/>
                  <a:stretch/>
                </pic:blipFill>
                <pic:spPr bwMode="auto">
                  <a:xfrm>
                    <a:off x="0" y="0"/>
                    <a:ext cx="7553325"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35431" w:rsidRPr="0035122D" w:rsidRDefault="00E41E05" w:rsidP="00CC31D3">
    <w:pPr>
      <w:pStyle w:val="Header"/>
      <w:rPr>
        <w:rFonts w:cs="Arial"/>
        <w:color w:val="FFFFFF"/>
        <w:sz w:val="56"/>
        <w:szCs w:val="56"/>
      </w:rPr>
    </w:pPr>
    <w:r>
      <w:rPr>
        <w:rFonts w:cs="Arial"/>
        <w:color w:val="FFFFFF"/>
        <w:sz w:val="56"/>
        <w:szCs w:val="56"/>
      </w:rPr>
      <w:t>Edible Pocket Gardens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750B"/>
    <w:multiLevelType w:val="hybridMultilevel"/>
    <w:tmpl w:val="D580446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3C6B9B"/>
    <w:multiLevelType w:val="hybridMultilevel"/>
    <w:tmpl w:val="CF4085B6"/>
    <w:lvl w:ilvl="0" w:tplc="08B206FA">
      <w:start w:val="1"/>
      <w:numFmt w:val="bullet"/>
      <w:lvlText w:val=""/>
      <w:lvlJc w:val="left"/>
      <w:pPr>
        <w:ind w:left="1439" w:hanging="567"/>
      </w:pPr>
      <w:rPr>
        <w:rFonts w:ascii="Wingdings" w:eastAsia="Wingdings" w:hAnsi="Wingdings" w:hint="default"/>
        <w:color w:val="1F497D"/>
        <w:w w:val="100"/>
        <w:sz w:val="22"/>
        <w:szCs w:val="22"/>
      </w:rPr>
    </w:lvl>
    <w:lvl w:ilvl="1" w:tplc="E4F88BB8">
      <w:start w:val="1"/>
      <w:numFmt w:val="bullet"/>
      <w:lvlText w:val="•"/>
      <w:lvlJc w:val="left"/>
      <w:pPr>
        <w:ind w:left="2486" w:hanging="567"/>
      </w:pPr>
      <w:rPr>
        <w:rFonts w:hint="default"/>
      </w:rPr>
    </w:lvl>
    <w:lvl w:ilvl="2" w:tplc="78F6F330">
      <w:start w:val="1"/>
      <w:numFmt w:val="bullet"/>
      <w:lvlText w:val="•"/>
      <w:lvlJc w:val="left"/>
      <w:pPr>
        <w:ind w:left="3533" w:hanging="567"/>
      </w:pPr>
      <w:rPr>
        <w:rFonts w:hint="default"/>
      </w:rPr>
    </w:lvl>
    <w:lvl w:ilvl="3" w:tplc="167AA3C0">
      <w:start w:val="1"/>
      <w:numFmt w:val="bullet"/>
      <w:lvlText w:val="•"/>
      <w:lvlJc w:val="left"/>
      <w:pPr>
        <w:ind w:left="4579" w:hanging="567"/>
      </w:pPr>
      <w:rPr>
        <w:rFonts w:hint="default"/>
      </w:rPr>
    </w:lvl>
    <w:lvl w:ilvl="4" w:tplc="863874B6">
      <w:start w:val="1"/>
      <w:numFmt w:val="bullet"/>
      <w:lvlText w:val="•"/>
      <w:lvlJc w:val="left"/>
      <w:pPr>
        <w:ind w:left="5626" w:hanging="567"/>
      </w:pPr>
      <w:rPr>
        <w:rFonts w:hint="default"/>
      </w:rPr>
    </w:lvl>
    <w:lvl w:ilvl="5" w:tplc="D1C62F96">
      <w:start w:val="1"/>
      <w:numFmt w:val="bullet"/>
      <w:lvlText w:val="•"/>
      <w:lvlJc w:val="left"/>
      <w:pPr>
        <w:ind w:left="6673" w:hanging="567"/>
      </w:pPr>
      <w:rPr>
        <w:rFonts w:hint="default"/>
      </w:rPr>
    </w:lvl>
    <w:lvl w:ilvl="6" w:tplc="DCB6D91C">
      <w:start w:val="1"/>
      <w:numFmt w:val="bullet"/>
      <w:lvlText w:val="•"/>
      <w:lvlJc w:val="left"/>
      <w:pPr>
        <w:ind w:left="7719" w:hanging="567"/>
      </w:pPr>
      <w:rPr>
        <w:rFonts w:hint="default"/>
      </w:rPr>
    </w:lvl>
    <w:lvl w:ilvl="7" w:tplc="B9CE913C">
      <w:start w:val="1"/>
      <w:numFmt w:val="bullet"/>
      <w:lvlText w:val="•"/>
      <w:lvlJc w:val="left"/>
      <w:pPr>
        <w:ind w:left="8766" w:hanging="567"/>
      </w:pPr>
      <w:rPr>
        <w:rFonts w:hint="default"/>
      </w:rPr>
    </w:lvl>
    <w:lvl w:ilvl="8" w:tplc="257A0D1A">
      <w:start w:val="1"/>
      <w:numFmt w:val="bullet"/>
      <w:lvlText w:val="•"/>
      <w:lvlJc w:val="left"/>
      <w:pPr>
        <w:ind w:left="9813" w:hanging="567"/>
      </w:pPr>
      <w:rPr>
        <w:rFonts w:hint="default"/>
      </w:rPr>
    </w:lvl>
  </w:abstractNum>
  <w:abstractNum w:abstractNumId="2" w15:restartNumberingAfterBreak="0">
    <w:nsid w:val="2AD14FB1"/>
    <w:multiLevelType w:val="hybridMultilevel"/>
    <w:tmpl w:val="F1502B14"/>
    <w:lvl w:ilvl="0" w:tplc="04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46B1F39"/>
    <w:multiLevelType w:val="hybridMultilevel"/>
    <w:tmpl w:val="5A225872"/>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4" w15:restartNumberingAfterBreak="0">
    <w:nsid w:val="3E7C510B"/>
    <w:multiLevelType w:val="hybridMultilevel"/>
    <w:tmpl w:val="D506EE90"/>
    <w:lvl w:ilvl="0" w:tplc="04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43FC6BB9"/>
    <w:multiLevelType w:val="hybridMultilevel"/>
    <w:tmpl w:val="B134B112"/>
    <w:lvl w:ilvl="0" w:tplc="04090001">
      <w:start w:val="1"/>
      <w:numFmt w:val="bullet"/>
      <w:lvlText w:val=""/>
      <w:lvlJc w:val="left"/>
      <w:pPr>
        <w:ind w:left="1439" w:hanging="567"/>
      </w:pPr>
      <w:rPr>
        <w:rFonts w:ascii="Symbol" w:hAnsi="Symbol" w:hint="default"/>
        <w:color w:val="1F497D"/>
        <w:w w:val="100"/>
        <w:sz w:val="22"/>
        <w:szCs w:val="22"/>
      </w:rPr>
    </w:lvl>
    <w:lvl w:ilvl="1" w:tplc="E4F88BB8">
      <w:start w:val="1"/>
      <w:numFmt w:val="bullet"/>
      <w:lvlText w:val="•"/>
      <w:lvlJc w:val="left"/>
      <w:pPr>
        <w:ind w:left="2486" w:hanging="567"/>
      </w:pPr>
      <w:rPr>
        <w:rFonts w:hint="default"/>
      </w:rPr>
    </w:lvl>
    <w:lvl w:ilvl="2" w:tplc="78F6F330">
      <w:start w:val="1"/>
      <w:numFmt w:val="bullet"/>
      <w:lvlText w:val="•"/>
      <w:lvlJc w:val="left"/>
      <w:pPr>
        <w:ind w:left="3533" w:hanging="567"/>
      </w:pPr>
      <w:rPr>
        <w:rFonts w:hint="default"/>
      </w:rPr>
    </w:lvl>
    <w:lvl w:ilvl="3" w:tplc="167AA3C0">
      <w:start w:val="1"/>
      <w:numFmt w:val="bullet"/>
      <w:lvlText w:val="•"/>
      <w:lvlJc w:val="left"/>
      <w:pPr>
        <w:ind w:left="4579" w:hanging="567"/>
      </w:pPr>
      <w:rPr>
        <w:rFonts w:hint="default"/>
      </w:rPr>
    </w:lvl>
    <w:lvl w:ilvl="4" w:tplc="863874B6">
      <w:start w:val="1"/>
      <w:numFmt w:val="bullet"/>
      <w:lvlText w:val="•"/>
      <w:lvlJc w:val="left"/>
      <w:pPr>
        <w:ind w:left="5626" w:hanging="567"/>
      </w:pPr>
      <w:rPr>
        <w:rFonts w:hint="default"/>
      </w:rPr>
    </w:lvl>
    <w:lvl w:ilvl="5" w:tplc="D1C62F96">
      <w:start w:val="1"/>
      <w:numFmt w:val="bullet"/>
      <w:lvlText w:val="•"/>
      <w:lvlJc w:val="left"/>
      <w:pPr>
        <w:ind w:left="6673" w:hanging="567"/>
      </w:pPr>
      <w:rPr>
        <w:rFonts w:hint="default"/>
      </w:rPr>
    </w:lvl>
    <w:lvl w:ilvl="6" w:tplc="DCB6D91C">
      <w:start w:val="1"/>
      <w:numFmt w:val="bullet"/>
      <w:lvlText w:val="•"/>
      <w:lvlJc w:val="left"/>
      <w:pPr>
        <w:ind w:left="7719" w:hanging="567"/>
      </w:pPr>
      <w:rPr>
        <w:rFonts w:hint="default"/>
      </w:rPr>
    </w:lvl>
    <w:lvl w:ilvl="7" w:tplc="B9CE913C">
      <w:start w:val="1"/>
      <w:numFmt w:val="bullet"/>
      <w:lvlText w:val="•"/>
      <w:lvlJc w:val="left"/>
      <w:pPr>
        <w:ind w:left="8766" w:hanging="567"/>
      </w:pPr>
      <w:rPr>
        <w:rFonts w:hint="default"/>
      </w:rPr>
    </w:lvl>
    <w:lvl w:ilvl="8" w:tplc="257A0D1A">
      <w:start w:val="1"/>
      <w:numFmt w:val="bullet"/>
      <w:lvlText w:val="•"/>
      <w:lvlJc w:val="left"/>
      <w:pPr>
        <w:ind w:left="9813" w:hanging="567"/>
      </w:pPr>
      <w:rPr>
        <w:rFonts w:hint="default"/>
      </w:rPr>
    </w:lvl>
  </w:abstractNum>
  <w:abstractNum w:abstractNumId="6" w15:restartNumberingAfterBreak="0">
    <w:nsid w:val="517245C8"/>
    <w:multiLevelType w:val="hybridMultilevel"/>
    <w:tmpl w:val="84FAC936"/>
    <w:lvl w:ilvl="0" w:tplc="0C090009">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7" w15:restartNumberingAfterBreak="0">
    <w:nsid w:val="5A0C4C5D"/>
    <w:multiLevelType w:val="hybridMultilevel"/>
    <w:tmpl w:val="B7BE9136"/>
    <w:lvl w:ilvl="0" w:tplc="0C090009">
      <w:start w:val="1"/>
      <w:numFmt w:val="bullet"/>
      <w:lvlText w:val=""/>
      <w:lvlJc w:val="left"/>
      <w:pPr>
        <w:ind w:left="1184" w:hanging="360"/>
      </w:pPr>
      <w:rPr>
        <w:rFonts w:ascii="Wingdings" w:hAnsi="Wingdings"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8" w15:restartNumberingAfterBreak="0">
    <w:nsid w:val="5AC61852"/>
    <w:multiLevelType w:val="hybridMultilevel"/>
    <w:tmpl w:val="6812F65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E8372D1"/>
    <w:multiLevelType w:val="hybridMultilevel"/>
    <w:tmpl w:val="1024B060"/>
    <w:lvl w:ilvl="0" w:tplc="04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4"/>
  </w:num>
  <w:num w:numId="6">
    <w:abstractNumId w:val="7"/>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224D5"/>
    <w:rsid w:val="000767CA"/>
    <w:rsid w:val="000D6543"/>
    <w:rsid w:val="000E6496"/>
    <w:rsid w:val="001037E1"/>
    <w:rsid w:val="001101BB"/>
    <w:rsid w:val="00114045"/>
    <w:rsid w:val="001458F6"/>
    <w:rsid w:val="00181564"/>
    <w:rsid w:val="00260D57"/>
    <w:rsid w:val="00276BE8"/>
    <w:rsid w:val="00287DA1"/>
    <w:rsid w:val="00295C07"/>
    <w:rsid w:val="002B6A2B"/>
    <w:rsid w:val="002D311C"/>
    <w:rsid w:val="00350521"/>
    <w:rsid w:val="0035122D"/>
    <w:rsid w:val="003B6760"/>
    <w:rsid w:val="003E6044"/>
    <w:rsid w:val="0041150C"/>
    <w:rsid w:val="0044034B"/>
    <w:rsid w:val="004750D9"/>
    <w:rsid w:val="004E7CA1"/>
    <w:rsid w:val="00523709"/>
    <w:rsid w:val="00524EEB"/>
    <w:rsid w:val="00571470"/>
    <w:rsid w:val="005B4E63"/>
    <w:rsid w:val="005C4284"/>
    <w:rsid w:val="005D21B4"/>
    <w:rsid w:val="005E43DA"/>
    <w:rsid w:val="00611665"/>
    <w:rsid w:val="006120E5"/>
    <w:rsid w:val="00616009"/>
    <w:rsid w:val="006603F0"/>
    <w:rsid w:val="00674BDB"/>
    <w:rsid w:val="006C08E2"/>
    <w:rsid w:val="006E46B0"/>
    <w:rsid w:val="0071745B"/>
    <w:rsid w:val="00740266"/>
    <w:rsid w:val="007610FC"/>
    <w:rsid w:val="007C2801"/>
    <w:rsid w:val="007C5F07"/>
    <w:rsid w:val="00827568"/>
    <w:rsid w:val="00920BEA"/>
    <w:rsid w:val="00936E36"/>
    <w:rsid w:val="00941A47"/>
    <w:rsid w:val="00966412"/>
    <w:rsid w:val="00970930"/>
    <w:rsid w:val="00996891"/>
    <w:rsid w:val="009976F0"/>
    <w:rsid w:val="009A09CE"/>
    <w:rsid w:val="009A57E3"/>
    <w:rsid w:val="009D03B5"/>
    <w:rsid w:val="00A07AEA"/>
    <w:rsid w:val="00A92F30"/>
    <w:rsid w:val="00AC7BB7"/>
    <w:rsid w:val="00B102E4"/>
    <w:rsid w:val="00B15FBB"/>
    <w:rsid w:val="00B520AD"/>
    <w:rsid w:val="00B92A2E"/>
    <w:rsid w:val="00BE53BA"/>
    <w:rsid w:val="00C35431"/>
    <w:rsid w:val="00C42BA5"/>
    <w:rsid w:val="00C8674B"/>
    <w:rsid w:val="00CC31D3"/>
    <w:rsid w:val="00CC5F39"/>
    <w:rsid w:val="00D137CA"/>
    <w:rsid w:val="00D5134F"/>
    <w:rsid w:val="00DB6E4A"/>
    <w:rsid w:val="00E2344A"/>
    <w:rsid w:val="00E2485A"/>
    <w:rsid w:val="00E41E05"/>
    <w:rsid w:val="00E45B9C"/>
    <w:rsid w:val="00E55E4E"/>
    <w:rsid w:val="00E64730"/>
    <w:rsid w:val="00EE500F"/>
    <w:rsid w:val="00F01F4F"/>
    <w:rsid w:val="00F40CFF"/>
    <w:rsid w:val="00F53922"/>
    <w:rsid w:val="00F74AD2"/>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5E9A1"/>
  <w15:docId w15:val="{F71356EB-AB2B-4169-8BBC-3A39C727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1">
    <w:name w:val="heading 1"/>
    <w:basedOn w:val="Normal"/>
    <w:next w:val="Normal"/>
    <w:link w:val="Heading1Char"/>
    <w:uiPriority w:val="9"/>
    <w:qFormat/>
    <w:rsid w:val="00E41E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0CFF"/>
    <w:pPr>
      <w:tabs>
        <w:tab w:val="left" w:pos="567"/>
        <w:tab w:val="left" w:pos="1134"/>
        <w:tab w:val="left" w:pos="2835"/>
        <w:tab w:val="left" w:pos="3600"/>
      </w:tabs>
      <w:adjustRightInd w:val="0"/>
      <w:jc w:val="both"/>
      <w:outlineLvl w:val="1"/>
    </w:pPr>
    <w:rPr>
      <w:rFonts w:eastAsia="Calibri" w:cs="Arial"/>
      <w:b/>
      <w:color w:val="002C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character" w:customStyle="1" w:styleId="Heading2Char">
    <w:name w:val="Heading 2 Char"/>
    <w:basedOn w:val="DefaultParagraphFont"/>
    <w:link w:val="Heading2"/>
    <w:uiPriority w:val="9"/>
    <w:rsid w:val="00F40CFF"/>
    <w:rPr>
      <w:rFonts w:ascii="Arial" w:eastAsia="Calibri" w:hAnsi="Arial" w:cs="Arial"/>
      <w:b/>
      <w:color w:val="002C50"/>
    </w:rPr>
  </w:style>
  <w:style w:type="table" w:customStyle="1" w:styleId="CoBTableStyle">
    <w:name w:val="CoB Table Style"/>
    <w:basedOn w:val="TableNormal"/>
    <w:uiPriority w:val="99"/>
    <w:rsid w:val="00F40CFF"/>
    <w:pPr>
      <w:spacing w:before="80" w:after="80" w:line="240" w:lineRule="auto"/>
    </w:pPr>
    <w:rPr>
      <w:rFonts w:ascii="Arial" w:hAnsi="Arial"/>
    </w:rPr>
    <w:tblPr>
      <w:tblBorders>
        <w:bottom w:val="single" w:sz="4" w:space="0" w:color="000000"/>
        <w:insideH w:val="single" w:sz="4" w:space="0" w:color="000000"/>
        <w:insideV w:val="single" w:sz="4" w:space="0" w:color="000000"/>
      </w:tblBorders>
    </w:tblPr>
    <w:tcPr>
      <w:shd w:val="clear" w:color="auto" w:fill="auto"/>
    </w:tcPr>
    <w:tblStylePr w:type="firstRow">
      <w:pPr>
        <w:wordWrap/>
        <w:spacing w:beforeLines="80" w:before="80" w:beforeAutospacing="0" w:afterLines="80" w:after="80" w:afterAutospacing="0" w:line="240" w:lineRule="auto"/>
        <w:jc w:val="left"/>
      </w:pPr>
      <w:rPr>
        <w:rFonts w:ascii="Arial" w:hAnsi="Arial"/>
        <w:b/>
        <w:color w:val="000000"/>
        <w:sz w:val="22"/>
      </w:rPr>
      <w:tblPr/>
      <w:trPr>
        <w:cantSplit/>
        <w:tblHeader/>
      </w:trPr>
      <w:tcPr>
        <w:tcBorders>
          <w:top w:val="nil"/>
          <w:left w:val="nil"/>
          <w:bottom w:val="single" w:sz="4" w:space="0" w:color="000000"/>
          <w:right w:val="nil"/>
          <w:insideH w:val="nil"/>
          <w:insideV w:val="nil"/>
          <w:tl2br w:val="nil"/>
          <w:tr2bl w:val="nil"/>
        </w:tcBorders>
      </w:tcPr>
    </w:tblStylePr>
    <w:tblStylePr w:type="lastRow">
      <w:rPr>
        <w:rFonts w:ascii="Arial" w:hAnsi="Arial"/>
        <w:sz w:val="22"/>
      </w:rPr>
      <w:tblPr/>
      <w:tcPr>
        <w:tcBorders>
          <w:bottom w:val="nil"/>
        </w:tcBorders>
        <w:shd w:val="clear" w:color="auto" w:fill="auto"/>
      </w:tcPr>
    </w:tblStylePr>
  </w:style>
  <w:style w:type="table" w:styleId="TableGrid">
    <w:name w:val="Table Grid"/>
    <w:basedOn w:val="TableNormal"/>
    <w:uiPriority w:val="59"/>
    <w:rsid w:val="00C42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C42B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24EEB"/>
    <w:pPr>
      <w:ind w:left="720"/>
      <w:contextualSpacing/>
    </w:pPr>
    <w:rPr>
      <w:rFonts w:asciiTheme="minorHAnsi" w:hAnsiTheme="minorHAnsi"/>
    </w:rPr>
  </w:style>
  <w:style w:type="character" w:styleId="Hyperlink">
    <w:name w:val="Hyperlink"/>
    <w:basedOn w:val="DefaultParagraphFont"/>
    <w:uiPriority w:val="99"/>
    <w:unhideWhenUsed/>
    <w:rsid w:val="0035122D"/>
    <w:rPr>
      <w:color w:val="0000FF"/>
      <w:u w:val="single"/>
    </w:rPr>
  </w:style>
  <w:style w:type="character" w:customStyle="1" w:styleId="Heading1Char">
    <w:name w:val="Heading 1 Char"/>
    <w:basedOn w:val="DefaultParagraphFont"/>
    <w:link w:val="Heading1"/>
    <w:uiPriority w:val="9"/>
    <w:rsid w:val="00E41E05"/>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E41E05"/>
    <w:pPr>
      <w:widowControl w:val="0"/>
      <w:spacing w:after="0" w:line="240" w:lineRule="auto"/>
      <w:ind w:left="1439" w:hanging="566"/>
    </w:pPr>
    <w:rPr>
      <w:rFonts w:ascii="Calibri" w:eastAsia="Calibri" w:hAnsi="Calibri"/>
      <w:lang w:val="en-US"/>
    </w:rPr>
  </w:style>
  <w:style w:type="character" w:customStyle="1" w:styleId="BodyTextChar">
    <w:name w:val="Body Text Char"/>
    <w:basedOn w:val="DefaultParagraphFont"/>
    <w:link w:val="BodyText"/>
    <w:uiPriority w:val="1"/>
    <w:rsid w:val="00E41E05"/>
    <w:rPr>
      <w:rFonts w:ascii="Calibri" w:eastAsia="Calibri" w:hAnsi="Calibri"/>
      <w:lang w:val="en-US"/>
    </w:rPr>
  </w:style>
  <w:style w:type="paragraph" w:customStyle="1" w:styleId="custommarkupelement-p">
    <w:name w:val="custommarkupelement-p"/>
    <w:basedOn w:val="Normal"/>
    <w:rsid w:val="00E41E05"/>
    <w:pPr>
      <w:spacing w:after="15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ail@bayswater.wa.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9BADFC2B7D34897096EAC42221F17" ma:contentTypeVersion="0" ma:contentTypeDescription="Create a new document." ma:contentTypeScope="" ma:versionID="8c9da975ca00d0e7935cce671c169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1DBE8-83F9-484B-86A0-3D8271B4A1E4}">
  <ds:schemaRefs>
    <ds:schemaRef ds:uri="http://schemas.microsoft.com/sharepoint/v3/contenttype/forms"/>
  </ds:schemaRefs>
</ds:datastoreItem>
</file>

<file path=customXml/itemProps2.xml><?xml version="1.0" encoding="utf-8"?>
<ds:datastoreItem xmlns:ds="http://schemas.openxmlformats.org/officeDocument/2006/customXml" ds:itemID="{E3A078AC-2554-45BA-A03D-35F97A31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3E723A-D5D0-4DE9-BFBE-744161E30F1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Bell</dc:creator>
  <cp:lastModifiedBy>Jennie Arts</cp:lastModifiedBy>
  <cp:revision>8</cp:revision>
  <cp:lastPrinted>2019-06-06T04:42:00Z</cp:lastPrinted>
  <dcterms:created xsi:type="dcterms:W3CDTF">2019-06-06T02:16:00Z</dcterms:created>
  <dcterms:modified xsi:type="dcterms:W3CDTF">2019-06-17T02:02:00Z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0x010100CE09BADFC2B7D34897096EAC42221F17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